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5591" w14:textId="77777777" w:rsidR="00C05EC7" w:rsidRPr="00C05EC7" w:rsidRDefault="00C05EC7" w:rsidP="00C05EC7">
      <w:pPr>
        <w:spacing w:after="0" w:line="240" w:lineRule="auto"/>
        <w:textAlignment w:val="top"/>
        <w:rPr>
          <w:rFonts w:ascii="Arial" w:eastAsia="Times New Roman" w:hAnsi="Arial" w:cs="Arial"/>
          <w:color w:val="222222"/>
          <w:kern w:val="0"/>
          <w:sz w:val="2"/>
          <w:szCs w:val="2"/>
          <w:lang w:eastAsia="ru-RU"/>
          <w14:ligatures w14:val="none"/>
        </w:rPr>
      </w:pPr>
      <w:r w:rsidRPr="00C05EC7">
        <w:rPr>
          <w:rFonts w:ascii="Arial" w:eastAsia="Times New Roman" w:hAnsi="Arial" w:cs="Arial"/>
          <w:color w:val="222222"/>
          <w:kern w:val="0"/>
          <w:sz w:val="2"/>
          <w:szCs w:val="2"/>
          <w:lang w:eastAsia="ru-RU"/>
          <w14:ligatures w14:val="none"/>
        </w:rPr>
        <w:t> </w:t>
      </w:r>
      <w:r w:rsidRPr="00C05EC7">
        <w:rPr>
          <w:rFonts w:ascii="Arial" w:eastAsia="Times New Roman" w:hAnsi="Arial" w:cs="Arial"/>
          <w:noProof/>
          <w:color w:val="015CCB"/>
          <w:kern w:val="0"/>
          <w:sz w:val="2"/>
          <w:szCs w:val="2"/>
          <w:lang w:eastAsia="ru-RU"/>
          <w14:ligatures w14:val="none"/>
        </w:rPr>
        <mc:AlternateContent>
          <mc:Choice Requires="wps">
            <w:drawing>
              <wp:inline distT="0" distB="0" distL="0" distR="0" wp14:anchorId="743CF38D" wp14:editId="61586A85">
                <wp:extent cx="1066800" cy="304800"/>
                <wp:effectExtent l="0" t="0" r="0" b="0"/>
                <wp:docPr id="1128548501" name="AutoShape 13" descr="Журнал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D3F50B" id="AutoShape 13" o:spid="_x0000_s1026" alt="Журнал" href="https://kontur.ru/articles" style="width:8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V41gEAAJ8DAAAOAAAAZHJzL2Uyb0RvYy54bWysU8tu2zAQvBfoPxC815Jc100Fy0GQIEWB&#10;9AGk+QCaIiWhEpfdpS27X98l5dhucyt6IfZBzc4OR6vr/dCLnUHqwFWymOVSGKeh7lxTyafv92+u&#10;pKCgXK16cKaSB0Pyev361Wr0pZlDC31tUDCIo3L0lWxD8GWWkW7NoGgG3jhuWsBBBU6xyWpUI6MP&#10;fTbP82U2AtYeQRsirt5NTblO+NYaHb5aSyaIvpLMLaQT07mJZ7ZeqbJB5dtOH2mof2AxqM7x0BPU&#10;nQpKbLF7ATV0GoHAhpmGIQNrO23SDrxNkf+1zWOrvEm7sDjkTzLR/4PVX3aP/htG6uQfQP8g4eC2&#10;Va4xN+RZPn5UeS4hwtgaVTODImqXjZ7KE0ZMiNHEZvwMNb+22gZIsuwtDnEGLyz2Sf3DSX2zD0Jz&#10;sciXy6ucH0lz722+iHEcocrnrz1S+GhgEDGoJDK9hK52DxSmq89X4jAH913fpxfu3R8FxoyVxD4S&#10;jnahcgP1gckjTC5hV3PQAv6SYmSHVJJ+bhUaKfpPjgX4UCwW0VIpWbx7P+cELzuby45ymqEqGaSY&#10;wtsw2XDrsWvapPPE8YZFs13a58zqSJZdkBQ5Ojba7DJPt87/1fo3AAAA//8DAFBLAwQUAAYACAAA&#10;ACEAOKf/4tcAAAAEAQAADwAAAGRycy9kb3ducmV2LnhtbEyPwWrDQAxE74X8w6JCb826oRjjeh1K&#10;IQT3EHCaD1C8qm3i1RrvJnH/Pkov7UViGDF6U6xnN6gLTaH3bOBlmYAibrztuTVw+No8Z6BCRLY4&#10;eCYDPxRgXS4eCsytv3JNl31slYRwyNFAF+OYax2ajhyGpR+Jxfv2k8Mocmq1nfAq4W7QqyRJtcOe&#10;5UOHI3101Jz2Z2dglZHdVX302+pU1Sk7/jzUW2OeHuf3N1CR5vh3DHd8QYdSmI7+zDaowYAUib/z&#10;7qWZyKOBV9m6LPR/+PIGAAD//wMAUEsBAi0AFAAGAAgAAAAhALaDOJL+AAAA4QEAABMAAAAAAAAA&#10;AAAAAAAAAAAAAFtDb250ZW50X1R5cGVzXS54bWxQSwECLQAUAAYACAAAACEAOP0h/9YAAACUAQAA&#10;CwAAAAAAAAAAAAAAAAAvAQAAX3JlbHMvLnJlbHNQSwECLQAUAAYACAAAACEANUw1eNYBAACfAwAA&#10;DgAAAAAAAAAAAAAAAAAuAgAAZHJzL2Uyb0RvYy54bWxQSwECLQAUAAYACAAAACEAOKf/4tcAAAAE&#10;AQAADwAAAAAAAAAAAAAAAAAwBAAAZHJzL2Rvd25yZXYueG1sUEsFBgAAAAAEAAQA8wAAADQF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6221EF1E" w14:textId="77777777" w:rsidR="00C05EC7" w:rsidRPr="00C05EC7" w:rsidRDefault="00C05EC7" w:rsidP="00C05EC7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  <w14:ligatures w14:val="none"/>
        </w:rPr>
        <w:t>Госпрограммы поддержки малого бизнеса в 2026 году</w:t>
      </w:r>
    </w:p>
    <w:p w14:paraId="4ADF36C0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Обновлено 10 марта 2026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</w:t>
      </w:r>
      <w:hyperlink r:id="rId6" w:anchor="comments" w:history="1">
        <w:r w:rsidRPr="00C05EC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 </w:t>
        </w:r>
        <w:r w:rsidRPr="00C05EC7">
          <w:rPr>
            <w:rFonts w:ascii="Arial" w:eastAsia="Times New Roman" w:hAnsi="Arial" w:cs="Arial"/>
            <w:color w:val="0000FF"/>
            <w:kern w:val="0"/>
            <w:sz w:val="24"/>
            <w:szCs w:val="24"/>
            <w:lang w:eastAsia="ru-RU"/>
            <w14:ligatures w14:val="none"/>
          </w:rPr>
          <w:t>237</w:t>
        </w:r>
      </w:hyperlink>
    </w:p>
    <w:p w14:paraId="70445052" w14:textId="77777777" w:rsidR="00C05EC7" w:rsidRPr="00C05EC7" w:rsidRDefault="00C05EC7" w:rsidP="00C05EC7">
      <w:pPr>
        <w:spacing w:after="360" w:line="240" w:lineRule="auto"/>
        <w:rPr>
          <w:rFonts w:ascii="Arial" w:eastAsia="Times New Roman" w:hAnsi="Arial" w:cs="Arial"/>
          <w:kern w:val="0"/>
          <w:sz w:val="33"/>
          <w:szCs w:val="33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33"/>
          <w:szCs w:val="33"/>
          <w:lang w:eastAsia="ru-RU"/>
          <w14:ligatures w14:val="none"/>
        </w:rPr>
        <w:t>В 2026 году государство продолжает поддерживать малый и средний бизнес: лимит «зонтичных» кредитов увеличен до 200 млрд руб., расширены отрасли для льготного финансирования, действуют гранты для молодых и социальных предпринимателей. При этом ряд льгот ужесточен — пониженные страховые взносы теперь доступны не всем МСП. Разбираем все программы и способы получения поддержки.</w:t>
      </w:r>
    </w:p>
    <w:p w14:paraId="07CA3B33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46F29D4C" wp14:editId="64894938">
                <wp:extent cx="304800" cy="304800"/>
                <wp:effectExtent l="0" t="0" r="0" b="0"/>
                <wp:docPr id="120538382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AD06DA" id="AutoShap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44DCC18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Коротко о главном</w:t>
      </w:r>
    </w:p>
    <w:p w14:paraId="679BBA3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В России зарегистрировано более 6,6 млн субъектов малого и среднего предпринимательства. Для них действует федеральный проект «Эффективная и конкурентная экономика», направленный на качественный рост бизнеса — переход предприятий из микро в малые, из малых в средние. Основной источник информации о мерах поддержки — цифровая платформа МСП.РФ с персональным подбором услуг.</w:t>
      </w:r>
    </w:p>
    <w:p w14:paraId="5C44AA5F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Ключевые изменения 2026 года: НДС вырос до 22%, пониженный тариф страховых взносов 15% для МСП ограничен приоритетными отраслями, лимит «зонтичных» льготных кредитов увеличен до 200 млрд руб. с минимальным кредитом от 25 млн руб., для самозанятых стартовал эксперимент по добровольному соцстрахованию, а с 1 октября 2026 года вступает в силу закон о платформенной экономике.</w:t>
      </w:r>
    </w:p>
    <w:p w14:paraId="5148F426" w14:textId="77777777" w:rsidR="00C05EC7" w:rsidRPr="00C05EC7" w:rsidRDefault="00C05EC7" w:rsidP="00C05EC7">
      <w:pPr>
        <w:spacing w:after="360" w:line="240" w:lineRule="auto"/>
        <w:outlineLvl w:val="3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Содержание:</w:t>
      </w:r>
    </w:p>
    <w:p w14:paraId="76CB3662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7" w:anchor="header_25703_1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Что изменилось в господдержке МСП в 2026 году</w:t>
        </w:r>
      </w:hyperlink>
    </w:p>
    <w:p w14:paraId="6CF252F9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8" w:anchor="header_25703_2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Цифровая платформа МСП как экосистема поддержки бизнеса</w:t>
        </w:r>
      </w:hyperlink>
    </w:p>
    <w:p w14:paraId="27660096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9" w:anchor="header_25703_3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Социальный контракт на открытие бизнеса</w:t>
        </w:r>
      </w:hyperlink>
    </w:p>
    <w:p w14:paraId="0F314426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0" w:anchor="header_25703_4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Грантовая поддержка</w:t>
        </w:r>
      </w:hyperlink>
    </w:p>
    <w:p w14:paraId="70102E7C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1" w:anchor="header_25703_5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Льготное кредитование и «зонтичный» механизм</w:t>
        </w:r>
      </w:hyperlink>
    </w:p>
    <w:p w14:paraId="37D42C3B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2" w:anchor="header_25703_6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Льготное кредитование высокотехнологичных компаний</w:t>
        </w:r>
      </w:hyperlink>
    </w:p>
    <w:p w14:paraId="61B19D89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3" w:anchor="header_25703_16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Поддержка малого агробизнеса</w:t>
        </w:r>
      </w:hyperlink>
    </w:p>
    <w:p w14:paraId="75F58342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4" w:anchor="header_25703_7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IT-льготы и поддержка цифровых компаний</w:t>
        </w:r>
      </w:hyperlink>
    </w:p>
    <w:p w14:paraId="66B969CB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5" w:anchor="header_25703_8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Поддержка импорта</w:t>
        </w:r>
      </w:hyperlink>
    </w:p>
    <w:p w14:paraId="721C8375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6" w:anchor="header_25703_9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Поддержка туристического бизнеса</w:t>
        </w:r>
      </w:hyperlink>
    </w:p>
    <w:p w14:paraId="4AEC233A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7" w:anchor="header_25703_10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Доступ МСП к закупкам госкомпаний</w:t>
        </w:r>
      </w:hyperlink>
    </w:p>
    <w:p w14:paraId="60104E7F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8" w:anchor="header_25703_11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Региональные программы поддержки</w:t>
        </w:r>
      </w:hyperlink>
    </w:p>
    <w:p w14:paraId="6CA04396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19" w:anchor="header_25703_12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Поддержка самозанятых</w:t>
        </w:r>
      </w:hyperlink>
    </w:p>
    <w:p w14:paraId="5B4DCF72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20" w:anchor="header_25703_13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Федеральные программы поддержки бизнеса</w:t>
        </w:r>
      </w:hyperlink>
    </w:p>
    <w:p w14:paraId="531C2F4A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21" w:anchor="header_25703_14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Чек-лист: как найти подходящую меру поддержки</w:t>
        </w:r>
      </w:hyperlink>
    </w:p>
    <w:p w14:paraId="7B4F12C7" w14:textId="77777777" w:rsidR="00C05EC7" w:rsidRPr="00C05EC7" w:rsidRDefault="00C05EC7" w:rsidP="00C05EC7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22" w:anchor="header_25703_15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Часто задаваемые вопросы</w:t>
        </w:r>
      </w:hyperlink>
    </w:p>
    <w:p w14:paraId="239067E3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Что изменилось в господдержке МСП в 2026 году</w:t>
      </w:r>
    </w:p>
    <w:p w14:paraId="75EE3239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НДС вырос до 22%.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1 января 2026 года базовая ставка НДС увеличена с 20% до 22%. Для компаний на УСН введены новые ставки: 5% (доход 20–272,5 млн руб.) и 7% (272,5–490,5 млн руб.) — без права на вычет входного НДС.</w:t>
      </w:r>
    </w:p>
    <w:p w14:paraId="4E09AED7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Страховые взносы — ужесточение для МСП.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До 2026 года пониженный тариф 15% был доступен практически всем субъектам МСП. С 1 января 2026 года он сохранен только для предприятий из приоритетных отраслей (</w:t>
      </w:r>
      <w:hyperlink r:id="rId23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Распоряжение Правительства РФ от 27.12.2025 № 4125-р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Условие: основной ОКВЭД из перечня и доля доходов от него — не менее 70%. Для обрабатывающей промышленности действует единый льготный тариф 7,6%.</w:t>
      </w:r>
    </w:p>
    <w:p w14:paraId="64854AF1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Лимит «зонтичных» кредитов увеличен.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2026 года лимит федеральной программы льготного кредитования МСП увеличен до 200 млрд руб.: 150 млрд — инвестиционные кредиты, 50 млрд — оборотные средства. Минимальный размер кредита снижен вдвое — до 25 млн руб.</w:t>
      </w:r>
    </w:p>
    <w:p w14:paraId="6898DB69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Программа «Взлет — от стартапа до IPO».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Продолжает действовать программа льготного кредитования для высокотехнологичных компаний из 16 приоритетных направлений. Заявки принимаются через МСП.РФ.</w:t>
      </w:r>
    </w:p>
    <w:p w14:paraId="4B263F82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lastRenderedPageBreak/>
        <w:t>Соцстрахование самозанятых.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1 января 2026 года стартовал эксперимент по добровольному социальному страхованию плательщиков НПД (</w:t>
      </w:r>
      <w:hyperlink r:id="rId24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15.12.2025 № 456-ФЗ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Самозанятые могут получать больничные и декретные.</w:t>
      </w:r>
    </w:p>
    <w:p w14:paraId="155F3B71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Закон о платформенной экономике.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1 октября 2026 года вступает в силу </w:t>
      </w:r>
      <w:hyperlink r:id="rId25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31.07.2025 № 289-ФЗ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регулирующий отношения между цифровыми платформами и исполнителями, включая самозанятых.</w:t>
      </w:r>
    </w:p>
    <w:p w14:paraId="01781008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01CAD6AB" wp14:editId="5D9A121F">
                <wp:extent cx="609600" cy="609600"/>
                <wp:effectExtent l="0" t="0" r="0" b="0"/>
                <wp:docPr id="1846221016" name="AutoShape 16" descr="jour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D48CA1" id="AutoShape 16" o:spid="_x0000_s1026" alt="journal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0BBC4C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Оформите ИП бесплатно без визита в налоговую через сервис регистрации бизнеса в Контуре и получите год обслуживания в онлайн-бухгалтерии Эльба в качестве бонуса</w:t>
      </w:r>
    </w:p>
    <w:p w14:paraId="3B43B50F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Цифровая платформа МСП как экосистема поддержки бизнеса</w:t>
      </w:r>
    </w:p>
    <w:p w14:paraId="2F85D2CC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Основной источник информации о мерах поддержки — </w:t>
      </w:r>
      <w:hyperlink r:id="rId26" w:anchor="services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цифровая платформа МСП.РФ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 Это система персонального подбора услуг, которые можно оформлять дистанционно.</w:t>
      </w:r>
    </w:p>
    <w:p w14:paraId="3BF4A77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Эксперимент по оказанию поддержки на базе платформы стартовал 1 февраля 2022 года и продлится до 1 февраля 2031 года (</w:t>
      </w:r>
      <w:hyperlink r:id="rId27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от 21.12.2021 № 2371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Она затрагивает малый и средний бизнес, самозанятых, граждан, которые только собираются начать свое дело.</w:t>
      </w:r>
    </w:p>
    <w:p w14:paraId="33CA35E9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К платформе подключены федеральные министерства, институты развития, банки и страховые организации. У каждого пользователя формируется цифровой профиль — меры поддержки предлагаются с учетом потребностей и стадии развития бизнеса. В 2026 году на платформе доступны более 30 онлайн-сервисов и сотни мер поддержки.</w:t>
      </w:r>
    </w:p>
    <w:p w14:paraId="6F82FAC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Также работает </w:t>
      </w:r>
      <w:hyperlink r:id="rId28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Портал предоставления мер финансовой государственной поддержки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автоподбором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— можно отфильтровать субсидии по различным критериям.</w:t>
      </w:r>
    </w:p>
    <w:p w14:paraId="0EDB2A37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lastRenderedPageBreak/>
        <w:t>Социальный контракт на открытие бизнеса</w:t>
      </w:r>
    </w:p>
    <w:p w14:paraId="08EF40F2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Для тех, кто планирует открыть свое дело или вести личное подсобное хозяйство, предусмотрены единовременные выплаты по социальному контракту (</w:t>
      </w:r>
      <w:hyperlink r:id="rId29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от 29.06.2022 № 1160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</w:t>
      </w:r>
    </w:p>
    <w:p w14:paraId="5D9B49E5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В 2026 году максимальная выплата для ИП — 350 000 руб., для граждан, ведущих личное подсобное хозяйство, — 200 000 руб. Контракт заключается на срок от 3 до 12 месяцев.</w:t>
      </w:r>
    </w:p>
    <w:p w14:paraId="296EC90F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AB60B59" wp14:editId="34DE4F3E">
                <wp:extent cx="609600" cy="609600"/>
                <wp:effectExtent l="0" t="0" r="0" b="0"/>
                <wp:docPr id="1303548380" name="AutoShape 17" descr="ba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0D9CFA" id="AutoShape 17" o:spid="_x0000_s1026" alt="bank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A240963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Получите деньги от социального контракта на счёт для бизнеса в 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Контур.Банке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— дистанционное открытие, бесплатное обслуживание и возможность перечислять физлицам до 150 000 ₽ в месяц без комиссии</w:t>
      </w:r>
    </w:p>
    <w:p w14:paraId="7388D2A2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Подходит малоимущим гражданам и семьям с доходом ниже прожиточного минимума в регионе. Подать заявление можно через Госуслуги, МФЦ или органы соцзащиты.</w:t>
      </w:r>
    </w:p>
    <w:p w14:paraId="63058F7B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К комплекту документов нужно прикладывать результаты тестирования на наличие предпринимательских компетенций.</w:t>
      </w:r>
    </w:p>
    <w:p w14:paraId="675E3A9F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4F92C561" wp14:editId="4CAAFB7F">
                <wp:extent cx="304800" cy="304800"/>
                <wp:effectExtent l="0" t="0" r="0" b="0"/>
                <wp:docPr id="1191197280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A0C37C" id="AutoShap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FBD6E8" w14:textId="77777777" w:rsidR="00C05EC7" w:rsidRPr="00C05EC7" w:rsidRDefault="00C05EC7" w:rsidP="00C05EC7">
      <w:pPr>
        <w:spacing w:after="360" w:line="240" w:lineRule="auto"/>
        <w:outlineLvl w:val="3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Полезные статьи</w:t>
      </w:r>
    </w:p>
    <w:p w14:paraId="6C704065" w14:textId="77777777" w:rsidR="00C05EC7" w:rsidRPr="00C05EC7" w:rsidRDefault="00C05EC7" w:rsidP="00C05EC7">
      <w:pPr>
        <w:numPr>
          <w:ilvl w:val="0"/>
          <w:numId w:val="5"/>
        </w:numPr>
        <w:spacing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30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 xml:space="preserve">Как составить бизнес-план для заключения </w:t>
        </w:r>
        <w:proofErr w:type="spellStart"/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соцконтракта</w:t>
        </w:r>
        <w:proofErr w:type="spellEnd"/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 xml:space="preserve"> в 2026 году</w:t>
        </w:r>
      </w:hyperlink>
    </w:p>
    <w:p w14:paraId="296352C9" w14:textId="77777777" w:rsidR="00C05EC7" w:rsidRPr="00C05EC7" w:rsidRDefault="00C05EC7" w:rsidP="00C05EC7">
      <w:pPr>
        <w:numPr>
          <w:ilvl w:val="0"/>
          <w:numId w:val="5"/>
        </w:numPr>
        <w:spacing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31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Социальный контракт 2026: как получить до 350 000 рублей на развитие бизнеса</w:t>
        </w:r>
      </w:hyperlink>
    </w:p>
    <w:p w14:paraId="626BB8AB" w14:textId="77777777" w:rsidR="00C05EC7" w:rsidRPr="00C05EC7" w:rsidRDefault="00C05EC7" w:rsidP="00C05EC7">
      <w:pPr>
        <w:numPr>
          <w:ilvl w:val="0"/>
          <w:numId w:val="5"/>
        </w:numPr>
        <w:spacing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32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Тестирование по социальному контракту: как проходит, сколько вопросов включает и что будет, если провалишь</w:t>
        </w:r>
      </w:hyperlink>
    </w:p>
    <w:p w14:paraId="5998552E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Грантовая поддержка</w:t>
      </w:r>
    </w:p>
    <w:p w14:paraId="4408B67A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Гранты обычно предоставляются региональными властями — как начинающим, так и опытным предпринимателям, в форме 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софинансирования или на безвозмездной основе. Условия отличаются по регионам, деньги выделяются по итогам конкурсного отбора.</w:t>
      </w:r>
    </w:p>
    <w:p w14:paraId="1D4D4E53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Приоритетные направления в 2026 году: IT, туризм (в том числе автотуризм), индустрия детских товаров, АПК, креативные индустрии.</w:t>
      </w:r>
    </w:p>
    <w:p w14:paraId="39C27E20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67F0822" wp14:editId="6267E7C0">
                <wp:extent cx="304800" cy="304800"/>
                <wp:effectExtent l="0" t="0" r="0" b="0"/>
                <wp:docPr id="1956826815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4BCC30" id="AutoShap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56D5F66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Чтобы узнать подробности получения грантов и субсидий, заходите на официальные государственные сайты, которые предоставляют информацию о мерах поддержки бизнеса.</w:t>
      </w:r>
    </w:p>
    <w:p w14:paraId="7FF1BAB8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Так, например, на сайте Министерства экономики Республики Татарстан подробно расписаны все направления </w:t>
      </w:r>
      <w:hyperlink r:id="rId33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государственной поддержки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 По Подмосковью такую информацию дает сайт </w:t>
      </w:r>
      <w:hyperlink r:id="rId34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Центра Развития Предпринимательства Московской Области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 На сайте «</w:t>
      </w:r>
      <w:hyperlink r:id="rId35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Малый бизнес Кубани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» приводится подробный список субсидий для предпринимателей, работающих на юге России.</w:t>
      </w:r>
    </w:p>
    <w:p w14:paraId="77952FFC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Проще воспользоваться поиском в разделе «</w:t>
      </w:r>
      <w:hyperlink r:id="rId36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Центр в моем регионе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» на сайте «Мой бизнес». Просто укажите на карте регион — и система выдаст информацию о местных отделениях, в том числе сайт, на котором можно найти всю информацию по поддержке.</w:t>
      </w:r>
    </w:p>
    <w:p w14:paraId="315EBC3A" w14:textId="77777777" w:rsidR="00C05EC7" w:rsidRPr="00C05EC7" w:rsidRDefault="00C05EC7" w:rsidP="00C05EC7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  <w:t>Гранты для стартапов</w:t>
      </w:r>
    </w:p>
    <w:p w14:paraId="1A67C348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Грант «Студенческий стартап» предусматривает сумму 1 млн руб. на реализацию инновационного проекта. Направления: цифровые технологии, медицина и 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здоровьесбережение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биотехнологии, новые материалы, интеллектуальные производственные технологии, ресурсосберегающая энергетика, креативные индустрии.</w:t>
      </w:r>
    </w:p>
    <w:p w14:paraId="19BB5C3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Условия: создание ООО (доля заявителя — более 50%), бизнес-план, отсутствие действующих договоров с Фондом содействия инновациям.</w:t>
      </w:r>
    </w:p>
    <w:p w14:paraId="43CCEF76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Заявки подаются через </w:t>
      </w:r>
      <w:hyperlink r:id="rId37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сайт Фонда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</w:t>
      </w:r>
    </w:p>
    <w:p w14:paraId="280B6107" w14:textId="77777777" w:rsidR="00C05EC7" w:rsidRPr="00C05EC7" w:rsidRDefault="00C05EC7" w:rsidP="00C05EC7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  <w:t>Гранты для женщин-предпринимателей</w:t>
      </w:r>
    </w:p>
    <w:p w14:paraId="5796173E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Федеральная </w:t>
      </w:r>
      <w:hyperlink r:id="rId38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программа «Мама-предприниматель»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 включает 5-дневный очный интенсив (40 часов) в региональных центрах «Мой бизнес» — 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основы предпринимательства, бизнес-планирование, маркетинг, финансы. Участницы готовят и защищают бизнес-план.</w:t>
      </w:r>
    </w:p>
    <w:p w14:paraId="34068D3A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Лучший проект в каждом регионе получает грант 150 000 руб. на развитие. Затем 25 лучших проектов проходят федеральный этап в Москве с возможностью получить грант до 1 000 000 руб. Участвовать могут женщины с бизнес-идеей (физлица без бизнеса) и действующие предпринимательницы.</w:t>
      </w:r>
    </w:p>
    <w:p w14:paraId="7A64AC87" w14:textId="77777777" w:rsidR="00C05EC7" w:rsidRPr="00C05EC7" w:rsidRDefault="00C05EC7" w:rsidP="00C05EC7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  <w:t>Гранты для пенсионеров</w:t>
      </w:r>
    </w:p>
    <w:p w14:paraId="033BBBAC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Федеральная </w:t>
      </w:r>
      <w:hyperlink r:id="rId39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программа «Серебряный старт»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предназначена для людей старшего поколения (60+), которые хотят начать или развить собственный бизнес. Формат предполагает очный интенсив (~40 часов) по основам предпринимательства, цифровой грамотности и финансовой безопасности, наставничество, нетворкинг.</w:t>
      </w:r>
    </w:p>
    <w:p w14:paraId="259B5615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Лучшие проекты получают грант до 150 000 руб. Перспективные направления: уход и забота, бытовые услуги, туризм и гостеприимство, образование, монетизация хобби.</w:t>
      </w:r>
    </w:p>
    <w:p w14:paraId="534217A1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Льготное кредитование и «зонтичный» механизм</w:t>
      </w:r>
    </w:p>
    <w:p w14:paraId="29916E9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«Зонтичный» механизм предоставления поручительств позволяет бизнесу получать кредиты при недостаточности залога. Корпорация МСП обеспечивает поручительство до 50% от суммы кредита, комиссию платит банк, а не предприниматель.</w:t>
      </w:r>
    </w:p>
    <w:p w14:paraId="4B4BFD9B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Параметры программы в 2026 году:</w:t>
      </w:r>
    </w:p>
    <w:p w14:paraId="3D4CF4FB" w14:textId="77777777" w:rsidR="00C05EC7" w:rsidRPr="00C05EC7" w:rsidRDefault="00C05EC7" w:rsidP="00C05EC7">
      <w:pPr>
        <w:numPr>
          <w:ilvl w:val="0"/>
          <w:numId w:val="6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размер кредита — до 1 млрд руб.;</w:t>
      </w:r>
    </w:p>
    <w:p w14:paraId="4C5F1A93" w14:textId="77777777" w:rsidR="00C05EC7" w:rsidRPr="00C05EC7" w:rsidRDefault="00C05EC7" w:rsidP="00C05EC7">
      <w:pPr>
        <w:numPr>
          <w:ilvl w:val="0"/>
          <w:numId w:val="6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поручительство — до 50% суммы;</w:t>
      </w:r>
    </w:p>
    <w:p w14:paraId="778B47A0" w14:textId="77777777" w:rsidR="00C05EC7" w:rsidRPr="00C05EC7" w:rsidRDefault="00C05EC7" w:rsidP="00C05EC7">
      <w:pPr>
        <w:numPr>
          <w:ilvl w:val="0"/>
          <w:numId w:val="6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срок — до 10 лет.</w:t>
      </w:r>
    </w:p>
    <w:p w14:paraId="3547B73E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Лимит федеральной программы — 200 млрд руб. (150 млрд — инвестиционные, 50 млрд — оборотные). Минимальный кредит снижен до 25 млн руб. Расширены отрасли: туризм, производство, логистика, IT, научно-техническая деятельность, креативные индустрии, проекты в приграничных регионах, малые технологические компании.</w:t>
      </w:r>
    </w:p>
    <w:p w14:paraId="1B4D919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В рамках федерального бюджета на 2025–2027 годы предусмотрено субсидирование кредитования МСП. Условия уточняйте в региональных центрах поддержки.</w:t>
      </w:r>
    </w:p>
    <w:p w14:paraId="09D69C42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Банк России продолжает развивать альтернативные инструменты финансирования: 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краудфинансирование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факторинг, лизинг. Также МСП доступны </w:t>
      </w:r>
      <w:hyperlink r:id="rId40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сервис «Знай своего клиента»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для проверки контрагентов, прием оплаты через СБП, посевное финансирование.</w:t>
      </w:r>
    </w:p>
    <w:p w14:paraId="09353A04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4732A411" wp14:editId="7CCCE88E">
                <wp:extent cx="609600" cy="609600"/>
                <wp:effectExtent l="0" t="0" r="0" b="0"/>
                <wp:docPr id="1121021645" name="AutoShape 20" descr="ex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6FC21" id="AutoShape 20" o:spid="_x0000_s1026" alt="extern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9FF5B1B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30"/>
          <w:szCs w:val="30"/>
          <w:lang w:eastAsia="ru-RU"/>
          <w14:ligatures w14:val="none"/>
        </w:rPr>
        <w:t>Ищете бухгалтера?</w:t>
      </w:r>
    </w:p>
    <w:p w14:paraId="345708BB" w14:textId="77777777" w:rsidR="00C05EC7" w:rsidRPr="00C05EC7" w:rsidRDefault="00C05EC7" w:rsidP="00C05EC7">
      <w:pPr>
        <w:spacing w:before="120"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Передайте работу с отчетностью, учетом и налогами профессиональному бухгалтеру</w:t>
      </w:r>
    </w:p>
    <w:p w14:paraId="09F6B352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Льготное кредитование высокотехнологичных компаний</w:t>
      </w:r>
    </w:p>
    <w:p w14:paraId="584A0BE8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В 2026 году продолжает действовать </w:t>
      </w:r>
      <w:hyperlink r:id="rId41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программа «Взлет — от стартапа до IPO»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— льготное кредитование инновационных и высокотехнологичных предприятий. Господдержка предоставляется компаниям, работающим в приоритетных направлениях, включая IT, биотехнологии, новые материалы, микроэлектронику и другие.</w:t>
      </w:r>
    </w:p>
    <w:p w14:paraId="2BB7A92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Подать заявку на льготное финансирование можно в электронном виде через платформу МСП.РФ. Условия участия и требования к заемщикам установлены </w:t>
      </w:r>
      <w:hyperlink r:id="rId42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Решением от 10.10.2024 № 22-62194-00645-Р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</w:t>
      </w:r>
    </w:p>
    <w:p w14:paraId="3FE24B1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Малые технологические компании также могут получить:</w:t>
      </w:r>
    </w:p>
    <w:p w14:paraId="6768659C" w14:textId="77777777" w:rsidR="00C05EC7" w:rsidRPr="00C05EC7" w:rsidRDefault="00C05EC7" w:rsidP="00C05EC7">
      <w:pPr>
        <w:numPr>
          <w:ilvl w:val="0"/>
          <w:numId w:val="7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бесплатное обучение;</w:t>
      </w:r>
    </w:p>
    <w:p w14:paraId="2B0EF5DA" w14:textId="77777777" w:rsidR="00C05EC7" w:rsidRPr="00C05EC7" w:rsidRDefault="00C05EC7" w:rsidP="00C05EC7">
      <w:pPr>
        <w:numPr>
          <w:ilvl w:val="0"/>
          <w:numId w:val="7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менторство;</w:t>
      </w:r>
    </w:p>
    <w:p w14:paraId="77FA8069" w14:textId="77777777" w:rsidR="00C05EC7" w:rsidRPr="00C05EC7" w:rsidRDefault="00C05EC7" w:rsidP="00C05EC7">
      <w:pPr>
        <w:numPr>
          <w:ilvl w:val="0"/>
          <w:numId w:val="7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помощь в упаковке бизнеса — на базе проекта «Мой бизнес», IT-парков, при университетах.</w:t>
      </w:r>
    </w:p>
    <w:p w14:paraId="601D42A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Включение в реестр малых технологических компаний дает преимущества при закупках госкомпаний.</w:t>
      </w:r>
    </w:p>
    <w:p w14:paraId="5D926937" w14:textId="77777777" w:rsidR="00C05EC7" w:rsidRPr="00C05EC7" w:rsidRDefault="00C05EC7" w:rsidP="00C05EC7">
      <w:pPr>
        <w:shd w:val="clear" w:color="auto" w:fill="FFF3F1"/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43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Статус МТК: как технологическому бизнесу пройти путь от заявки до реальных преимуществ</w:t>
        </w:r>
      </w:hyperlink>
    </w:p>
    <w:p w14:paraId="54DB4270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Поддержка малого агробизнеса</w:t>
      </w:r>
    </w:p>
    <w:p w14:paraId="7A90AC42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 2026 года государственные меры поддержки фермерских хозяйств и сельскохозяйственных кооперативов, которые ранее реализовывались через разные программы, консолидированы в рамках нового федерального проекта «Развитие малого агробизнеса». На его финансирование в 2026 году запланировано 14,5 млрд руб.</w:t>
      </w:r>
    </w:p>
    <w:p w14:paraId="1B2D5D8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Объединенный грант для развития фермерских хозяйств.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2026 года ранее существовавший «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Агростартап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» и грант на семейные фермы объединены в одну программу. Сумма — до 30 млн руб. Чем больше собственный взнос фермера, тем сильнее поддержка: максимальный грант доступен при вложении 40% своих средств, минимальный взнос — 10%. Претендовать могут КФХ или ИП с регистрацией на сельской территории.</w:t>
      </w:r>
    </w:p>
    <w:p w14:paraId="366AFAE9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Грант «Агротуризм».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До 10 млн руб. на проекты сельского туризма: строительство и ремонт помещений для туристов, создание инфраструктуры, закупка оборудования (</w:t>
      </w:r>
      <w:hyperlink r:id="rId44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от 16.12.2021 № 2309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Грант не доступен владельцам ЛПХ.</w:t>
      </w:r>
    </w:p>
    <w:p w14:paraId="41288CD1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Грант «</w:t>
      </w:r>
      <w:proofErr w:type="spellStart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Агропрогресс</w:t>
      </w:r>
      <w:proofErr w:type="spellEnd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До 30 млн руб. для сельхозпроизводителей, работающих не менее двух лет (</w:t>
      </w:r>
      <w:hyperlink r:id="rId45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от 26.11.2020 № 1932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На развитие базы по производству, хранению, переработке и реализации продукции.</w:t>
      </w:r>
    </w:p>
    <w:p w14:paraId="4BAF1567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Грант «</w:t>
      </w:r>
      <w:proofErr w:type="spellStart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Агромотиватор</w:t>
      </w:r>
      <w:proofErr w:type="spellEnd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Для ветеранов и участников СВО: до 7 млн руб. на разведение КРС, до 5 млн руб. — на другие направления агробизнеса.</w:t>
      </w:r>
    </w:p>
    <w:p w14:paraId="16D4E457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Грант на создание сельской пекарни.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До 10 млн руб. государство готово выделить на строительство и оборудование пекарни на сельской территории (</w:t>
      </w:r>
      <w:hyperlink r:id="rId46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РФ от 23.12.2025 № 2110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</w:t>
      </w:r>
    </w:p>
    <w:p w14:paraId="0048A1D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Поддержка сельскохозяйственных кооперативов-</w:t>
      </w:r>
      <w:proofErr w:type="spellStart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агроагрегаторов</w:t>
      </w:r>
      <w:proofErr w:type="spellEnd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 Такие организации помогают небольшим производителям выходить в крупные торговые сети и обеспечивают централизованные поставки продукции. Для них предусмотрены различные инструменты поддержки: компенсация части расходов 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 xml:space="preserve">на закупку фермерской продукции, субсидии на развитие логистической инфраструктуры, приобретение оборудования и специализированного транспорта. Кроме того, 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агроагрегаторы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 смогут воспользоваться льготными кредитами для организации хранения, сбора, переработки и дальнейшей реализации сельхозпродукции.</w:t>
      </w:r>
    </w:p>
    <w:p w14:paraId="7D768754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IT-льготы и поддержка цифровых компаний</w:t>
      </w:r>
    </w:p>
    <w:p w14:paraId="47329ED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Налог на прибыль 5%.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 2025 до 2030 года IT-компании платят налог на прибыль только в федеральный бюджет по ставке 5% (</w:t>
      </w:r>
      <w:hyperlink r:id="rId47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12.07.2024 № 176-ФЗ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Условие: компания аккредитована и включена в реестр Минцифры.</w:t>
      </w:r>
    </w:p>
    <w:p w14:paraId="7C05B4E3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Пониженные страховые взносы.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Для IT-компаний действует льготный тариф:</w:t>
      </w:r>
    </w:p>
    <w:p w14:paraId="01F96D8B" w14:textId="77777777" w:rsidR="00C05EC7" w:rsidRPr="00C05EC7" w:rsidRDefault="00C05EC7" w:rsidP="00C05EC7">
      <w:pPr>
        <w:numPr>
          <w:ilvl w:val="0"/>
          <w:numId w:val="8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15 % — если выплаты в пределах величины базы по страховым взносам;</w:t>
      </w:r>
    </w:p>
    <w:p w14:paraId="58EC1163" w14:textId="77777777" w:rsidR="00C05EC7" w:rsidRPr="00C05EC7" w:rsidRDefault="00C05EC7" w:rsidP="00C05EC7">
      <w:pPr>
        <w:numPr>
          <w:ilvl w:val="0"/>
          <w:numId w:val="8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7,6 % — если выплаты превышают предельную величину базы по страховым взносам.</w:t>
      </w:r>
    </w:p>
    <w:p w14:paraId="7363DD07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Кадры.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Действует упрощенная процедура трудоустройства иностранных специалистов. Доступна льготная ипотека для сотрудников IT-компаний до 2030 года (кроме Москвы и Санкт-Петербурга). Предусмотрена отсрочка от армии для IT-специалистов (</w:t>
      </w:r>
      <w:hyperlink r:id="rId48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РФ от 28.03.2022 № 490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</w:t>
      </w:r>
    </w:p>
    <w:p w14:paraId="5923531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Компенсация 50% на российское ПО.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Малый и средний бизнес может приобрести отечественное ПО на 50% дешевле при соответствии требованиям по численности и доходам.</w:t>
      </w:r>
    </w:p>
    <w:p w14:paraId="3B38B696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C027B42" wp14:editId="663F6D90">
                <wp:extent cx="609600" cy="609600"/>
                <wp:effectExtent l="0" t="0" r="0" b="0"/>
                <wp:docPr id="1380641974" name="AutoShap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B39E41" id="AutoShape 21" o:spid="_x0000_s1026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9C168AB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49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Требования к бизнесу, претендующему на компенсацию затрат на ПО</w:t>
        </w:r>
      </w:hyperlink>
    </w:p>
    <w:p w14:paraId="5BD9293B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Поддержка импорта</w:t>
      </w:r>
    </w:p>
    <w:p w14:paraId="350FB6B8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Минэкономразвития разработало Навигатор мер поддержки импорта (</w:t>
      </w:r>
      <w:hyperlink r:id="rId50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Письмо Минэкономразвития от 22.09.2022 № 35970-ДВ/Д12И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 — часть мер действует бессрочно: приоритетное таможенное оформление товаров народного потребления, непривлечение к ответственности за нарушение условий временного ввоза.</w:t>
      </w:r>
    </w:p>
    <w:p w14:paraId="36E1751B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Также действуют:</w:t>
      </w:r>
    </w:p>
    <w:p w14:paraId="0256527F" w14:textId="77777777" w:rsidR="00C05EC7" w:rsidRPr="00C05EC7" w:rsidRDefault="00C05EC7" w:rsidP="00C05EC7">
      <w:pPr>
        <w:numPr>
          <w:ilvl w:val="0"/>
          <w:numId w:val="9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51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сервис импортозамещения 2.0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от Минпромторга;</w:t>
      </w:r>
    </w:p>
    <w:p w14:paraId="44A782C4" w14:textId="77777777" w:rsidR="00C05EC7" w:rsidRPr="00C05EC7" w:rsidRDefault="00C05EC7" w:rsidP="00C05EC7">
      <w:pPr>
        <w:numPr>
          <w:ilvl w:val="0"/>
          <w:numId w:val="9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52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механизм параллельного импорта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(с сокращением перечня товаров по мере выхода российских аналогов).</w:t>
      </w:r>
    </w:p>
    <w:p w14:paraId="69506E9F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Поддержка туристического бизнеса</w:t>
      </w:r>
    </w:p>
    <w:p w14:paraId="4DB0BD4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В рамках национального проекта «Туризм и гостеприимство» действуют:</w:t>
      </w:r>
    </w:p>
    <w:p w14:paraId="105B1043" w14:textId="77777777" w:rsidR="00C05EC7" w:rsidRPr="00C05EC7" w:rsidRDefault="00C05EC7" w:rsidP="00C05EC7">
      <w:pPr>
        <w:numPr>
          <w:ilvl w:val="0"/>
          <w:numId w:val="10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освобождение от НДС услуг по размещению в гостиницах до 2027 года,</w:t>
      </w:r>
    </w:p>
    <w:p w14:paraId="108B934A" w14:textId="77777777" w:rsidR="00C05EC7" w:rsidRPr="00C05EC7" w:rsidRDefault="00C05EC7" w:rsidP="00C05EC7">
      <w:pPr>
        <w:numPr>
          <w:ilvl w:val="0"/>
          <w:numId w:val="10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продление нулевого НДС для гостиниц до 2030 года,</w:t>
      </w:r>
    </w:p>
    <w:p w14:paraId="559E3328" w14:textId="77777777" w:rsidR="00C05EC7" w:rsidRPr="00C05EC7" w:rsidRDefault="00C05EC7" w:rsidP="00C05EC7">
      <w:pPr>
        <w:numPr>
          <w:ilvl w:val="0"/>
          <w:numId w:val="10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освобождение туроператоров от НДС до 2027 года.</w:t>
      </w:r>
    </w:p>
    <w:p w14:paraId="311D64FE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Предприниматели могут претендовать на единую субсидию: обустройство пляжей и национальных маршрутов, создание кемпингов и автокемпингов, закупка оборудования, развитие инфраструктуры для людей с ограниченными возможностями.</w:t>
      </w:r>
    </w:p>
    <w:p w14:paraId="4FB8277C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Также доступны: льготное кредитование строительства крупных точек притяжения (аквапарки, парки развлечений), субсидии на строительство модульных гостиниц, кредитование строительства крупных гостиниц от 120 номеров.</w:t>
      </w:r>
    </w:p>
    <w:p w14:paraId="66CF9743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Для получения субсидии обращайтесь в местную администрацию. Подробности — на сайте </w:t>
      </w:r>
      <w:proofErr w:type="spellStart"/>
      <w:r>
        <w:fldChar w:fldCharType="begin"/>
      </w:r>
      <w:r>
        <w:instrText>HYPERLINK "https://xn--80aapampemcchfmo7a3c9ehj.xn--p1ai/new-projects/turizm-i-gostepriimstvo/" \t "_blank"</w:instrText>
      </w:r>
      <w:r>
        <w:fldChar w:fldCharType="separate"/>
      </w:r>
      <w:r w:rsidRPr="00C05EC7">
        <w:rPr>
          <w:rFonts w:ascii="Arial" w:eastAsia="Times New Roman" w:hAnsi="Arial" w:cs="Arial"/>
          <w:color w:val="015CCB"/>
          <w:kern w:val="0"/>
          <w:sz w:val="27"/>
          <w:szCs w:val="27"/>
          <w:u w:val="single"/>
          <w:lang w:eastAsia="ru-RU"/>
          <w14:ligatures w14:val="none"/>
        </w:rPr>
        <w:t>национальныепроекты.рф</w:t>
      </w:r>
      <w:proofErr w:type="spellEnd"/>
      <w:r>
        <w:fldChar w:fldCharType="end"/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</w:t>
      </w:r>
    </w:p>
    <w:p w14:paraId="44EACFAA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Доступ МСП к закупкам госкомпаний</w:t>
      </w:r>
    </w:p>
    <w:p w14:paraId="7F2D7CE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Государственные компании и крупные госкорпорации обязаны закупать часть товаров, работ и услуг у субъектов МСП. По 223-ФЗ действует требование — не менее 25% совокупного годового объема договоров (</w:t>
      </w:r>
      <w:hyperlink r:id="rId53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Постановление Правительства РФ от 11.12.2014 № 1352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</w:t>
      </w:r>
    </w:p>
    <w:p w14:paraId="0F1E9DF1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Это возможность выйти на крупный рынок сбыта, заключить долгосрочные контракты и масштабировать бизнес. Участвовать могут субъекты МСП и ИП из любых отраслей: строительство, IT, логистика, консалтинг, поставки.</w:t>
      </w:r>
    </w:p>
    <w:p w14:paraId="249DD42F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Для участия проверьте статус в реестре МСП (на сайте ФНС или МСП.РФ) и обеспечьте качество первичной документации — в закупках это критически важно.</w:t>
      </w:r>
    </w:p>
    <w:p w14:paraId="55E1DA4D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Региональные программы поддержки</w:t>
      </w:r>
    </w:p>
    <w:p w14:paraId="5480A3E6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Детали программ можно узнать на региональных порталах МСП. Удобнее всего использовать поиск в разделе «Центры инфраструктуры МСП в вашем регионе» на сайте «Мой бизнес» — укажите регион на карте, система выдаст контакты и ссылки.</w:t>
      </w:r>
    </w:p>
    <w:p w14:paraId="661C85EB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Например, вводим запрос «региональный портал малого и среднего предпринимательства Саратов» и выходим на </w:t>
      </w:r>
      <w:hyperlink r:id="rId54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сайт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который дает подробную информацию и по видам, и по формам, и по инфраструктуре поддержки.</w:t>
      </w:r>
    </w:p>
    <w:p w14:paraId="6F4A80A1" w14:textId="64A0F5C0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Центры инфраструктуры МСП в регионах на сайте «Мой бизнес»</w:t>
      </w:r>
    </w:p>
    <w:p w14:paraId="18358EC9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Поддержка самозанятых</w:t>
      </w:r>
    </w:p>
    <w:p w14:paraId="59B376E1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На самозанятых распространяются меры поддержки, которые ранее были предусмотрены для МСП. Самозанятые вправе пользоваться полным набором услуг и сервисов в центрах «Мой бизнес», претендовать на аренду коворкингов и бизнес-инкубаторов по льготным ставкам, займы до 1 млн руб. от государственных МФО.</w:t>
      </w:r>
    </w:p>
    <w:p w14:paraId="54E488FA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 1 марта 2025 года вступил в силу </w:t>
      </w:r>
      <w:hyperlink r:id="rId55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14.10.2024 № 344-ФЗ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, который упростил самозанятым получение муниципальных 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и региональных преференций. Теперь самозанятые официально относятся к хозяйствующим субъектам.</w:t>
      </w:r>
    </w:p>
    <w:p w14:paraId="5E67C698" w14:textId="77777777" w:rsidR="00C05EC7" w:rsidRPr="00C05EC7" w:rsidRDefault="00C05EC7" w:rsidP="00C05EC7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48"/>
          <w:szCs w:val="48"/>
          <w:lang w:eastAsia="ru-RU"/>
          <w14:ligatures w14:val="none"/>
        </w:rPr>
        <w:t>Что изменилось в 2026 году</w:t>
      </w:r>
    </w:p>
    <w:p w14:paraId="4E3AA503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 1 января 2026 года стартовал эксперимент по добровольному социальному страхованию самозанятых (</w:t>
      </w:r>
      <w:hyperlink r:id="rId56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15.12.2025 № 456-ФЗ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). Плательщики НПД могут добровольно уплачивать взносы в СФР (1 344 или 1 920 руб. в месяц) и через 6 месяцев получать больничные. Заявление подается через «Мой налог» или Госуслуги.</w:t>
      </w:r>
    </w:p>
    <w:p w14:paraId="3AD93E3B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 1 октября 2026 года вступает в силу закон о платформенной экономике (</w:t>
      </w:r>
      <w:hyperlink r:id="rId57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Федеральный закон от 31.07.2025 № 289-ФЗ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), регулирующий отношения между маркетплейсами, которые затронет самозанятых, которые работают на маркетплейсах.</w:t>
      </w:r>
    </w:p>
    <w:p w14:paraId="3B35249E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FABC5B5" wp14:editId="7BCCA603">
                <wp:extent cx="304800" cy="304800"/>
                <wp:effectExtent l="0" t="0" r="0" b="0"/>
                <wp:docPr id="1911415324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6D5490" id="AutoShap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CA8A4F" w14:textId="77777777" w:rsidR="00C05EC7" w:rsidRPr="00C05EC7" w:rsidRDefault="00C05EC7" w:rsidP="00C05EC7">
      <w:pPr>
        <w:spacing w:after="360" w:line="240" w:lineRule="auto"/>
        <w:outlineLvl w:val="3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Полезные статьи</w:t>
      </w:r>
    </w:p>
    <w:p w14:paraId="7528A20F" w14:textId="77777777" w:rsidR="00C05EC7" w:rsidRPr="00C05EC7" w:rsidRDefault="00C05EC7" w:rsidP="00C05EC7">
      <w:pPr>
        <w:numPr>
          <w:ilvl w:val="0"/>
          <w:numId w:val="11"/>
        </w:numPr>
        <w:spacing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58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На что рассчитывать самозанятым в 2026 году</w:t>
        </w:r>
      </w:hyperlink>
    </w:p>
    <w:p w14:paraId="32DDFD7B" w14:textId="77777777" w:rsidR="00C05EC7" w:rsidRPr="00C05EC7" w:rsidRDefault="00C05EC7" w:rsidP="00C05EC7">
      <w:pPr>
        <w:numPr>
          <w:ilvl w:val="0"/>
          <w:numId w:val="11"/>
        </w:numPr>
        <w:spacing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hyperlink r:id="rId59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Новое в законах для самозанятых в 2026 году</w:t>
        </w:r>
      </w:hyperlink>
    </w:p>
    <w:p w14:paraId="09522995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Федеральные программы поддержки бизнеса</w:t>
      </w:r>
    </w:p>
    <w:p w14:paraId="30120110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Корпорация МСП.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</w:t>
      </w:r>
      <w:hyperlink r:id="rId60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Оказывает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финансовую, имущественную, юридическую, инфраструктурную и методологическую поддержку. На сайте корпорации можно узнать обо всех льготах, субсидиях и грантах для вашей компании.</w:t>
      </w:r>
    </w:p>
    <w:p w14:paraId="3DBF84AD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АО «МСП Банк».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</w:t>
      </w:r>
      <w:hyperlink r:id="rId61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Предоставляет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МСП прямые гарантии для получения банковских кредитов. Выступает гарантом исполнения кредитных обязательств, разделяя риски с банками. Гарантийные продукты доступны через банки-партнеры МСП Банка.</w:t>
      </w:r>
    </w:p>
    <w:p w14:paraId="7751ADB9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Фонд содействия инновациям.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</w:t>
      </w:r>
      <w:hyperlink r:id="rId62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Поддержка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 xml:space="preserve"> малых предприятий в научно-технической сфере. Есть программы «Умник» (молодые 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инноваторы), «Старт» (стартапы), «Развитие», «Интернационализация», «Коммерциализация».</w:t>
      </w:r>
    </w:p>
    <w:p w14:paraId="138279FC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Минэкономразвития.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</w:t>
      </w:r>
      <w:hyperlink r:id="rId63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Предоставляет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субсидии из федерального бюджета для МСП. Средства распределяются на конкурсной основе между регионами. Поддержка направлена на производство, инновации, народно-художественные промыслы, ремесленную деятельность, сельский и экотуризм, социальное предпринимательство.</w:t>
      </w:r>
    </w:p>
    <w:p w14:paraId="0F8E820E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Минсельхоз.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Меры поддержки </w:t>
      </w:r>
      <w:hyperlink r:id="rId64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включают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краткосрочные и инвестиционные кредиты для АПК по ставке не более 5%, субсидии производителям сельхозтехники, субсидии на молочное скотоводство.</w:t>
      </w:r>
    </w:p>
    <w:p w14:paraId="69200DD4" w14:textId="77777777" w:rsidR="00C05EC7" w:rsidRPr="00C05EC7" w:rsidRDefault="00C05EC7" w:rsidP="00C05EC7">
      <w:pPr>
        <w:spacing w:after="30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Проект «</w:t>
      </w:r>
      <w:proofErr w:type="spellStart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СВОй</w:t>
      </w:r>
      <w:proofErr w:type="spellEnd"/>
      <w:r w:rsidRPr="00C05EC7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 xml:space="preserve"> бизнес».</w:t>
      </w: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Специальная программа для участников СВО, ветеранов боевых действий и членов их семей. Предполагает комплексные меры: обучающие курсы, финансовые инструменты (</w:t>
      </w:r>
      <w:proofErr w:type="spellStart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соцконтракты</w:t>
      </w:r>
      <w:proofErr w:type="spellEnd"/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гранты, льготные кредиты, микрозаймы), наставничество. Все меры упакованы в единую услугу на МСП.РФ.</w:t>
      </w:r>
    </w:p>
    <w:p w14:paraId="0DBF6771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05EC7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509CBA1" wp14:editId="13D5DA26">
                <wp:extent cx="609600" cy="609600"/>
                <wp:effectExtent l="0" t="0" r="0" b="0"/>
                <wp:docPr id="459496296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7983C0" id="AutoShape 24" o:spid="_x0000_s1026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F02356" w14:textId="77777777" w:rsidR="00C05EC7" w:rsidRPr="00C05EC7" w:rsidRDefault="00C05EC7" w:rsidP="00C05EC7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Успешный бизнес всегда начинается с вопросов. Готовы поддержать на каждом этапе. Переходите в телеграм-бота и </w:t>
      </w:r>
      <w:hyperlink r:id="rId65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получите бесплатную консультацию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, как начать свое дело.</w:t>
      </w:r>
    </w:p>
    <w:p w14:paraId="51884015" w14:textId="77777777" w:rsidR="00C05EC7" w:rsidRPr="00C05EC7" w:rsidRDefault="00C05EC7" w:rsidP="00C05EC7">
      <w:pPr>
        <w:spacing w:before="600" w:after="480" w:line="240" w:lineRule="auto"/>
        <w:outlineLvl w:val="1"/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</w:pPr>
      <w:r w:rsidRPr="00C05EC7">
        <w:rPr>
          <w:rFonts w:ascii="Arial" w:eastAsia="Times New Roman" w:hAnsi="Arial" w:cs="Arial"/>
          <w:b/>
          <w:bCs/>
          <w:kern w:val="0"/>
          <w:sz w:val="60"/>
          <w:szCs w:val="60"/>
          <w:lang w:eastAsia="ru-RU"/>
          <w14:ligatures w14:val="none"/>
        </w:rPr>
        <w:t>Чек-лист: как найти подходящую меру поддержки</w:t>
      </w:r>
    </w:p>
    <w:p w14:paraId="730F350D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Проверьте статус в </w:t>
      </w:r>
      <w:hyperlink r:id="rId66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реестре МСП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.</w:t>
      </w:r>
    </w:p>
    <w:p w14:paraId="2973393F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Зайдите на </w:t>
      </w:r>
      <w:hyperlink r:id="rId67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цифровую платформу МСП.РФ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— система автоматически подберет меры поддержки по вашему профилю.</w:t>
      </w:r>
    </w:p>
    <w:p w14:paraId="4467F3BD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Обратитесь в региональный </w:t>
      </w:r>
      <w:hyperlink r:id="rId68" w:tgtFrame="_blank" w:history="1">
        <w:r w:rsidRPr="00C05EC7">
          <w:rPr>
            <w:rFonts w:ascii="Arial" w:eastAsia="Times New Roman" w:hAnsi="Arial" w:cs="Arial"/>
            <w:color w:val="015CCB"/>
            <w:kern w:val="0"/>
            <w:sz w:val="27"/>
            <w:szCs w:val="27"/>
            <w:u w:val="single"/>
            <w:lang w:eastAsia="ru-RU"/>
            <w14:ligatures w14:val="none"/>
          </w:rPr>
          <w:t>центр «Мой бизнес»</w:t>
        </w:r>
      </w:hyperlink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 — консультация бесплатна.</w:t>
      </w:r>
    </w:p>
    <w:p w14:paraId="62FE68EF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Проверьте отраслевые программы: Минсельхоз (АПК), Минцифры (IT), Минпромторг (импорт, промышленность), Ростуризм (туризм).</w:t>
      </w:r>
    </w:p>
    <w:p w14:paraId="550C7968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Для льготного кредита уточните параметры «зонтичного» механизма в банках-партнерах Корпорации МСП.</w:t>
      </w:r>
    </w:p>
    <w:p w14:paraId="5A9A69CA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133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lastRenderedPageBreak/>
        <w:t>Для грантов подготовьте бизнес-план и документы заранее: у конкурсов есть дедлайны.</w:t>
      </w:r>
    </w:p>
    <w:p w14:paraId="70D95082" w14:textId="77777777" w:rsidR="00C05EC7" w:rsidRPr="00C05EC7" w:rsidRDefault="00C05EC7" w:rsidP="00C05EC7">
      <w:pPr>
        <w:numPr>
          <w:ilvl w:val="0"/>
          <w:numId w:val="12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</w:pPr>
      <w:r w:rsidRPr="00C05EC7">
        <w:rPr>
          <w:rFonts w:ascii="Arial" w:eastAsia="Times New Roman" w:hAnsi="Arial" w:cs="Arial"/>
          <w:kern w:val="0"/>
          <w:sz w:val="27"/>
          <w:szCs w:val="27"/>
          <w:lang w:eastAsia="ru-RU"/>
          <w14:ligatures w14:val="none"/>
        </w:rPr>
        <w:t>Если вы самозанятый, обратитесь за уточнениями в центр «Мой бизнес» и изучите возможности добровольного соцстрахования через «Мой налог».</w:t>
      </w:r>
    </w:p>
    <w:sectPr w:rsidR="00C05EC7" w:rsidRPr="00C05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2C4A"/>
    <w:multiLevelType w:val="multilevel"/>
    <w:tmpl w:val="B38E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22990"/>
    <w:multiLevelType w:val="multilevel"/>
    <w:tmpl w:val="77D8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47578"/>
    <w:multiLevelType w:val="multilevel"/>
    <w:tmpl w:val="ACD27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0E5583"/>
    <w:multiLevelType w:val="multilevel"/>
    <w:tmpl w:val="A87E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7E50B8"/>
    <w:multiLevelType w:val="multilevel"/>
    <w:tmpl w:val="B848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41FA0"/>
    <w:multiLevelType w:val="multilevel"/>
    <w:tmpl w:val="ED24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377B6"/>
    <w:multiLevelType w:val="multilevel"/>
    <w:tmpl w:val="9086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411D1"/>
    <w:multiLevelType w:val="multilevel"/>
    <w:tmpl w:val="6E78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50051D"/>
    <w:multiLevelType w:val="multilevel"/>
    <w:tmpl w:val="A046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E0B61"/>
    <w:multiLevelType w:val="multilevel"/>
    <w:tmpl w:val="8E06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8F4C94"/>
    <w:multiLevelType w:val="multilevel"/>
    <w:tmpl w:val="191C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BE3844"/>
    <w:multiLevelType w:val="multilevel"/>
    <w:tmpl w:val="71EC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100530">
    <w:abstractNumId w:val="11"/>
  </w:num>
  <w:num w:numId="2" w16cid:durableId="1643996781">
    <w:abstractNumId w:val="0"/>
  </w:num>
  <w:num w:numId="3" w16cid:durableId="1500196748">
    <w:abstractNumId w:val="2"/>
  </w:num>
  <w:num w:numId="4" w16cid:durableId="108360389">
    <w:abstractNumId w:val="4"/>
  </w:num>
  <w:num w:numId="5" w16cid:durableId="1477188264">
    <w:abstractNumId w:val="6"/>
  </w:num>
  <w:num w:numId="6" w16cid:durableId="280305444">
    <w:abstractNumId w:val="9"/>
  </w:num>
  <w:num w:numId="7" w16cid:durableId="484932474">
    <w:abstractNumId w:val="8"/>
  </w:num>
  <w:num w:numId="8" w16cid:durableId="602034201">
    <w:abstractNumId w:val="5"/>
  </w:num>
  <w:num w:numId="9" w16cid:durableId="254480589">
    <w:abstractNumId w:val="1"/>
  </w:num>
  <w:num w:numId="10" w16cid:durableId="2086755592">
    <w:abstractNumId w:val="7"/>
  </w:num>
  <w:num w:numId="11" w16cid:durableId="2053920502">
    <w:abstractNumId w:val="3"/>
  </w:num>
  <w:num w:numId="12" w16cid:durableId="2722488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C7"/>
    <w:rsid w:val="003D5E8A"/>
    <w:rsid w:val="00835C48"/>
    <w:rsid w:val="009F3453"/>
    <w:rsid w:val="00BC7955"/>
    <w:rsid w:val="00C05EC7"/>
    <w:rsid w:val="00F4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D284"/>
  <w15:chartTrackingRefBased/>
  <w15:docId w15:val="{5C70241F-0747-4F85-9FDC-F454A235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5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5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5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5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5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5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5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5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5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5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5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5E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5E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5E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5E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5E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5E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5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5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5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5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5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5E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5E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5E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5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5E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5E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xn--l1agf.xn--p1ai/" TargetMode="External"/><Relationship Id="rId21" Type="http://schemas.openxmlformats.org/officeDocument/2006/relationships/hyperlink" Target="https://kontur.ru/articles/25703-gosprogrammy_podderzhki_malogo_biznesa" TargetMode="External"/><Relationship Id="rId42" Type="http://schemas.openxmlformats.org/officeDocument/2006/relationships/hyperlink" Target="https://www.economy.gov.ru/material/file/238ad5da12b01e1aca8c2bbe38f6b135/22-62194-00645-P.pdf" TargetMode="External"/><Relationship Id="rId47" Type="http://schemas.openxmlformats.org/officeDocument/2006/relationships/hyperlink" Target="https://normativ.kontur.ru/document?moduleId=1&amp;documentId=503215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63" Type="http://schemas.openxmlformats.org/officeDocument/2006/relationships/hyperlink" Target="https://www.economy.gov.ru/material/directions/nacionalnyy_proekt_maloe_i_srednee_predprinimatelstvo_i_podderzhka_individualnoy_predprinimatelskoy_iniciativy/" TargetMode="External"/><Relationship Id="rId68" Type="http://schemas.openxmlformats.org/officeDocument/2006/relationships/hyperlink" Target="https://xn--90aifddrld7a.xn--p1ai/about/centers/" TargetMode="External"/><Relationship Id="rId7" Type="http://schemas.openxmlformats.org/officeDocument/2006/relationships/hyperlink" Target="https://kontur.ru/articles/25703-gosprogrammy_podderzhki_malogo_biznesa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ntur.ru/articles/25703-gosprogrammy_podderzhki_malogo_biznesa" TargetMode="External"/><Relationship Id="rId29" Type="http://schemas.openxmlformats.org/officeDocument/2006/relationships/hyperlink" Target="https://normativ.kontur.ru/document?moduleId=1100&amp;documentId=32061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11" Type="http://schemas.openxmlformats.org/officeDocument/2006/relationships/hyperlink" Target="https://kontur.ru/articles/25703-gosprogrammy_podderzhki_malogo_biznesa" TargetMode="External"/><Relationship Id="rId24" Type="http://schemas.openxmlformats.org/officeDocument/2006/relationships/hyperlink" Target="https://normativ.kontur.ru/document?moduleId=1100&amp;documentId=64058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32" Type="http://schemas.openxmlformats.org/officeDocument/2006/relationships/hyperlink" Target="https://kontur.ru/articles/50574-testirovanie_po_socialnomu_kontraktu" TargetMode="External"/><Relationship Id="rId37" Type="http://schemas.openxmlformats.org/officeDocument/2006/relationships/hyperlink" Target="https://fasie.ru/" TargetMode="External"/><Relationship Id="rId40" Type="http://schemas.openxmlformats.org/officeDocument/2006/relationships/hyperlink" Target="https://cbr.ru/counteraction_m_ter/platform_zsk/proverka-po-inn/" TargetMode="External"/><Relationship Id="rId45" Type="http://schemas.openxmlformats.org/officeDocument/2006/relationships/hyperlink" Target="https://normativ.kontur.ru/document?moduleId=1100&amp;documentId=14893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53" Type="http://schemas.openxmlformats.org/officeDocument/2006/relationships/hyperlink" Target="https://normativ.kontur.ru/document?moduleId=1&amp;documentId=504470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58" Type="http://schemas.openxmlformats.org/officeDocument/2006/relationships/hyperlink" Target="https://kontur.ru/articles/4818" TargetMode="External"/><Relationship Id="rId66" Type="http://schemas.openxmlformats.org/officeDocument/2006/relationships/hyperlink" Target="https://rmsp.nalog.ru/" TargetMode="External"/><Relationship Id="rId5" Type="http://schemas.openxmlformats.org/officeDocument/2006/relationships/hyperlink" Target="https://kontur.ru/articles" TargetMode="External"/><Relationship Id="rId61" Type="http://schemas.openxmlformats.org/officeDocument/2006/relationships/hyperlink" Target="https://mspbank.ru/who-can-receive-help/" TargetMode="External"/><Relationship Id="rId19" Type="http://schemas.openxmlformats.org/officeDocument/2006/relationships/hyperlink" Target="https://kontur.ru/articles/25703-gosprogrammy_podderzhki_malogo_biznesa" TargetMode="External"/><Relationship Id="rId14" Type="http://schemas.openxmlformats.org/officeDocument/2006/relationships/hyperlink" Target="https://kontur.ru/articles/25703-gosprogrammy_podderzhki_malogo_biznesa" TargetMode="External"/><Relationship Id="rId22" Type="http://schemas.openxmlformats.org/officeDocument/2006/relationships/hyperlink" Target="https://kontur.ru/articles/25703-gosprogrammy_podderzhki_malogo_biznesa" TargetMode="External"/><Relationship Id="rId27" Type="http://schemas.openxmlformats.org/officeDocument/2006/relationships/hyperlink" Target="https://normativ.kontur.ru/document?moduleId=1&amp;documentId=488727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30" Type="http://schemas.openxmlformats.org/officeDocument/2006/relationships/hyperlink" Target="https://kontur.ru/articles/451" TargetMode="External"/><Relationship Id="rId35" Type="http://schemas.openxmlformats.org/officeDocument/2006/relationships/hyperlink" Target="https://mbkuban.ru/financial-support/subsidies/" TargetMode="External"/><Relationship Id="rId43" Type="http://schemas.openxmlformats.org/officeDocument/2006/relationships/hyperlink" Target="https://kontur.ru/articles/83409-status_mtk" TargetMode="External"/><Relationship Id="rId48" Type="http://schemas.openxmlformats.org/officeDocument/2006/relationships/hyperlink" Target="https://normativ.kontur.ru/document?moduleId=1&amp;documentId=418838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56" Type="http://schemas.openxmlformats.org/officeDocument/2006/relationships/hyperlink" Target="https://normativ.kontur.ru/document?moduleId=1100&amp;documentId=64058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64" Type="http://schemas.openxmlformats.org/officeDocument/2006/relationships/hyperlink" Target="https://mcx.gov.ru/activity/state-support/measures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kontur.ru/articles/25703-gosprogrammy_podderzhki_malogo_biznesa" TargetMode="External"/><Relationship Id="rId51" Type="http://schemas.openxmlformats.org/officeDocument/2006/relationships/hyperlink" Target="https://gisp.gov.ru/import-substitution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ntur.ru/articles/25703-gosprogrammy_podderzhki_malogo_biznesa" TargetMode="External"/><Relationship Id="rId17" Type="http://schemas.openxmlformats.org/officeDocument/2006/relationships/hyperlink" Target="https://kontur.ru/articles/25703-gosprogrammy_podderzhki_malogo_biznesa" TargetMode="External"/><Relationship Id="rId25" Type="http://schemas.openxmlformats.org/officeDocument/2006/relationships/hyperlink" Target="https://normativ.kontur.ru/document?moduleId=1&amp;documentId=500750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33" Type="http://schemas.openxmlformats.org/officeDocument/2006/relationships/hyperlink" Target="https://mert.tatarstan.ru/gosudarstvennaya-podderzhka.htm" TargetMode="External"/><Relationship Id="rId38" Type="http://schemas.openxmlformats.org/officeDocument/2006/relationships/hyperlink" Target="https://xn--80aaapecta3abbflycnd5byo.xn--p1ai/" TargetMode="External"/><Relationship Id="rId46" Type="http://schemas.openxmlformats.org/officeDocument/2006/relationships/hyperlink" Target="http://publication.pravo.gov.ru/document/0001202512240037" TargetMode="External"/><Relationship Id="rId59" Type="http://schemas.openxmlformats.org/officeDocument/2006/relationships/hyperlink" Target="https://kontur.ru/articles/37713-novoe_v_zakonah_dlya_samozanyatyh" TargetMode="External"/><Relationship Id="rId67" Type="http://schemas.openxmlformats.org/officeDocument/2006/relationships/hyperlink" Target="https://xn--l1agf.xn--p1ai/" TargetMode="External"/><Relationship Id="rId20" Type="http://schemas.openxmlformats.org/officeDocument/2006/relationships/hyperlink" Target="https://kontur.ru/articles/25703-gosprogrammy_podderzhki_malogo_biznesa" TargetMode="External"/><Relationship Id="rId41" Type="http://schemas.openxmlformats.org/officeDocument/2006/relationships/hyperlink" Target="https://vzlet.economy.gov.ru/investors" TargetMode="External"/><Relationship Id="rId54" Type="http://schemas.openxmlformats.org/officeDocument/2006/relationships/hyperlink" Target="https://saratov-bis.ru/msp/" TargetMode="External"/><Relationship Id="rId62" Type="http://schemas.openxmlformats.org/officeDocument/2006/relationships/hyperlink" Target="https://www.fasie.ru/programs/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ontur.ru/articles/25703-gosprogrammy_podderzhki_malogo_biznesa" TargetMode="External"/><Relationship Id="rId15" Type="http://schemas.openxmlformats.org/officeDocument/2006/relationships/hyperlink" Target="https://kontur.ru/articles/25703-gosprogrammy_podderzhki_malogo_biznesa" TargetMode="External"/><Relationship Id="rId23" Type="http://schemas.openxmlformats.org/officeDocument/2006/relationships/hyperlink" Target="https://normativ.kontur.ru/document?moduleId=1&amp;documentId=503640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28" Type="http://schemas.openxmlformats.org/officeDocument/2006/relationships/hyperlink" Target="https://promote.budget.gov.ru/" TargetMode="External"/><Relationship Id="rId36" Type="http://schemas.openxmlformats.org/officeDocument/2006/relationships/hyperlink" Target="https://xn--90aifddrld7a.xn--p1ai/about/centers/" TargetMode="External"/><Relationship Id="rId49" Type="http://schemas.openxmlformats.org/officeDocument/2006/relationships/hyperlink" Target="https://kontur.ru/articles/929" TargetMode="External"/><Relationship Id="rId57" Type="http://schemas.openxmlformats.org/officeDocument/2006/relationships/hyperlink" Target="https://normativ.kontur.ru/document?moduleId=1&amp;documentId=500750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10" Type="http://schemas.openxmlformats.org/officeDocument/2006/relationships/hyperlink" Target="https://kontur.ru/articles/25703-gosprogrammy_podderzhki_malogo_biznesa" TargetMode="External"/><Relationship Id="rId31" Type="http://schemas.openxmlformats.org/officeDocument/2006/relationships/hyperlink" Target="https://kontur.ru/articles/6656" TargetMode="External"/><Relationship Id="rId44" Type="http://schemas.openxmlformats.org/officeDocument/2006/relationships/hyperlink" Target="https://normativ.kontur.ru/document?moduleId=1100&amp;documentId=26531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52" Type="http://schemas.openxmlformats.org/officeDocument/2006/relationships/hyperlink" Target="https://gisp.gov.ru/nmp/measure/12447930" TargetMode="External"/><Relationship Id="rId60" Type="http://schemas.openxmlformats.org/officeDocument/2006/relationships/hyperlink" Target="https://corpmsp.ru/support/" TargetMode="External"/><Relationship Id="rId65" Type="http://schemas.openxmlformats.org/officeDocument/2006/relationships/hyperlink" Target="https://t.me/KonturConsultant_bot?start=journal-kontur-jh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tur.ru/articles/25703-gosprogrammy_podderzhki_malogo_biznesa" TargetMode="External"/><Relationship Id="rId13" Type="http://schemas.openxmlformats.org/officeDocument/2006/relationships/hyperlink" Target="https://kontur.ru/articles/25703-gosprogrammy_podderzhki_malogo_biznesa" TargetMode="External"/><Relationship Id="rId18" Type="http://schemas.openxmlformats.org/officeDocument/2006/relationships/hyperlink" Target="https://kontur.ru/articles/25703-gosprogrammy_podderzhki_malogo_biznesa" TargetMode="External"/><Relationship Id="rId39" Type="http://schemas.openxmlformats.org/officeDocument/2006/relationships/hyperlink" Target="https://xn--80ablavxscdbhmc4joc.xn--p1ai/" TargetMode="External"/><Relationship Id="rId34" Type="http://schemas.openxmlformats.org/officeDocument/2006/relationships/hyperlink" Target="http://www.mspmo.ru/" TargetMode="External"/><Relationship Id="rId50" Type="http://schemas.openxmlformats.org/officeDocument/2006/relationships/hyperlink" Target="https://normativ.kontur.ru/document?moduleId=8&amp;documentId=432991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Relationship Id="rId55" Type="http://schemas.openxmlformats.org/officeDocument/2006/relationships/hyperlink" Target="https://normativ.kontur.ru/document?moduleId=1&amp;documentId=480173&amp;p=1210&amp;utm_source=yandex&amp;utm_medium=organic&amp;utm_referer=yandex.ru&amp;utm_startpage=kontur.ru%2Farticles%2F25703-gosprogrammy_podderzhki_malogo_biznesa&amp;utm_orderpage=kontur.ru%2Farticles%2F25703-gosprogrammy_podderzhki_malogo_bizne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4199</Words>
  <Characters>23935</Characters>
  <Application>Microsoft Office Word</Application>
  <DocSecurity>0</DocSecurity>
  <Lines>199</Lines>
  <Paragraphs>56</Paragraphs>
  <ScaleCrop>false</ScaleCrop>
  <Company/>
  <LinksUpToDate>false</LinksUpToDate>
  <CharactersWithSpaces>28078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2026-04-05T14:13:00Z</dcterms:created>
  <dcterms:modified xsi:type="dcterms:W3CDTF">2026-04-20T15:46:00Z</dcterms:modified>
</cp:coreProperties>
</file>